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7E1107" w:rsidP="00117031">
      <w:pPr>
        <w:jc w:val="center"/>
      </w:pPr>
      <w:r>
        <w:t>п.Епифань Красная площадь д.</w:t>
      </w:r>
      <w:r w:rsidR="00DB507C">
        <w:t>10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6E41D8">
            <w:r>
              <w:t>2.</w:t>
            </w:r>
            <w:r w:rsidR="006E41D8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6E41D8">
            <w:r>
              <w:t>2.</w:t>
            </w:r>
            <w:r w:rsidR="006E41D8">
              <w:t>2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6E41D8">
            <w:r>
              <w:t>2.</w:t>
            </w:r>
            <w:r w:rsidR="006E41D8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6E41D8">
            <w:r>
              <w:t>2.</w:t>
            </w:r>
            <w:r w:rsidR="006E41D8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6E41D8">
            <w:r>
              <w:t>3.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6E41D8" w:rsidP="006E41D8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6E41D8">
            <w:r>
              <w:t>3.</w:t>
            </w:r>
            <w:r w:rsidR="006E41D8">
              <w:t>2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6E41D8">
            <w:r>
              <w:t xml:space="preserve">1 раз в </w:t>
            </w:r>
            <w:r w:rsidR="006E41D8">
              <w:t>месяц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280" w:rsidRDefault="00E46280" w:rsidP="00117031">
      <w:pPr>
        <w:spacing w:after="0" w:line="240" w:lineRule="auto"/>
      </w:pPr>
      <w:r>
        <w:separator/>
      </w:r>
    </w:p>
  </w:endnote>
  <w:endnote w:type="continuationSeparator" w:id="1">
    <w:p w:rsidR="00E46280" w:rsidRDefault="00E4628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280" w:rsidRDefault="00E46280" w:rsidP="00117031">
      <w:pPr>
        <w:spacing w:after="0" w:line="240" w:lineRule="auto"/>
      </w:pPr>
      <w:r>
        <w:separator/>
      </w:r>
    </w:p>
  </w:footnote>
  <w:footnote w:type="continuationSeparator" w:id="1">
    <w:p w:rsidR="00E46280" w:rsidRDefault="00E4628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6280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2014-01-23T11:46:00Z</dcterms:created>
  <dcterms:modified xsi:type="dcterms:W3CDTF">2014-01-23T11:46:00Z</dcterms:modified>
</cp:coreProperties>
</file>